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AEB" w14:textId="77777777" w:rsidR="002F4417" w:rsidRDefault="008C71FF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D9260" wp14:editId="66751E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708" cy="1176018"/>
            <wp:effectExtent l="0" t="0" r="0" b="0"/>
            <wp:wrapSquare wrapText="bothSides"/>
            <wp:docPr id="1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8" cy="11760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sz w:val="24"/>
        </w:rPr>
        <w:t>COUR D'APPEL DE</w:t>
      </w:r>
      <w:r w:rsidR="005525F3">
        <w:rPr>
          <w:b/>
          <w:bCs/>
          <w:caps/>
          <w:sz w:val="24"/>
        </w:rPr>
        <w:t xml:space="preserve"> CHAMBERY</w:t>
      </w:r>
    </w:p>
    <w:p w14:paraId="674118FA" w14:textId="77777777" w:rsidR="002F4417" w:rsidRDefault="002F4417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  <w:rPr>
          <w:rFonts w:eastAsia="Verdana" w:cs="Verdana"/>
          <w:b/>
          <w:bCs/>
          <w:caps/>
          <w:sz w:val="24"/>
        </w:rPr>
      </w:pPr>
    </w:p>
    <w:p w14:paraId="47682655" w14:textId="77777777" w:rsidR="00E07EF2" w:rsidRDefault="008C71FF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 xml:space="preserve">TRIBUNAL JUDICIAIRE </w:t>
      </w:r>
      <w:r w:rsidR="005525F3">
        <w:rPr>
          <w:b/>
          <w:bCs/>
          <w:caps/>
          <w:sz w:val="24"/>
        </w:rPr>
        <w:t>D’ANNECY</w:t>
      </w:r>
    </w:p>
    <w:p w14:paraId="019359DC" w14:textId="77777777" w:rsidR="00E20F92" w:rsidRPr="00D3204E" w:rsidRDefault="00E20F92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  <w:rPr>
          <w:b/>
          <w:bCs/>
          <w:caps/>
          <w:sz w:val="24"/>
        </w:rPr>
      </w:pPr>
    </w:p>
    <w:p w14:paraId="0CEAEB45" w14:textId="77777777" w:rsidR="00E20F92" w:rsidRPr="00D3204E" w:rsidRDefault="00E20F92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</w:pPr>
      <w:r w:rsidRPr="00D3204E">
        <w:rPr>
          <w:b/>
          <w:bCs/>
          <w:caps/>
          <w:sz w:val="24"/>
        </w:rPr>
        <w:t>POLE REGIONAL DE L’ENVIRONNEMENT</w:t>
      </w:r>
    </w:p>
    <w:p w14:paraId="2B507F33" w14:textId="77777777" w:rsidR="005525F3" w:rsidRDefault="005525F3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</w:pPr>
    </w:p>
    <w:p w14:paraId="4A2C914B" w14:textId="77777777" w:rsidR="005525F3" w:rsidRPr="005525F3" w:rsidRDefault="005525F3">
      <w:pPr>
        <w:pStyle w:val="Standard"/>
        <w:tabs>
          <w:tab w:val="center" w:pos="4536"/>
          <w:tab w:val="left" w:pos="7513"/>
          <w:tab w:val="right" w:pos="9072"/>
        </w:tabs>
        <w:ind w:right="15"/>
        <w:textAlignment w:val="center"/>
        <w:rPr>
          <w:b/>
          <w:sz w:val="24"/>
        </w:rPr>
      </w:pPr>
      <w:r w:rsidRPr="005525F3">
        <w:rPr>
          <w:b/>
          <w:sz w:val="24"/>
        </w:rPr>
        <w:t>PARQUET D</w:t>
      </w:r>
      <w:r w:rsidR="00E20F92">
        <w:rPr>
          <w:b/>
          <w:sz w:val="24"/>
        </w:rPr>
        <w:t xml:space="preserve">E LA </w:t>
      </w:r>
      <w:r w:rsidRPr="005525F3">
        <w:rPr>
          <w:b/>
          <w:sz w:val="24"/>
        </w:rPr>
        <w:t>PROCUREUR</w:t>
      </w:r>
      <w:r w:rsidR="00E20F92">
        <w:rPr>
          <w:b/>
          <w:sz w:val="24"/>
        </w:rPr>
        <w:t>E</w:t>
      </w:r>
      <w:r w:rsidRPr="005525F3">
        <w:rPr>
          <w:b/>
          <w:sz w:val="24"/>
        </w:rPr>
        <w:t xml:space="preserve"> DE LA REPUBLIQUE</w:t>
      </w:r>
    </w:p>
    <w:p w14:paraId="2ACED090" w14:textId="77777777" w:rsidR="002F4417" w:rsidRDefault="002F4417">
      <w:pPr>
        <w:pStyle w:val="Standard"/>
        <w:autoSpaceDE w:val="0"/>
        <w:jc w:val="center"/>
        <w:rPr>
          <w:b/>
          <w:bCs/>
          <w:sz w:val="12"/>
          <w:szCs w:val="12"/>
        </w:rPr>
      </w:pPr>
    </w:p>
    <w:p w14:paraId="5B23EC18" w14:textId="77777777" w:rsidR="00F52E92" w:rsidRPr="005525F3" w:rsidRDefault="008C71FF" w:rsidP="005525F3">
      <w:pPr>
        <w:pStyle w:val="Standard"/>
        <w:autoSpaceDE w:val="0"/>
        <w:jc w:val="right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4"/>
      </w:tblGrid>
      <w:tr w:rsidR="002F4417" w14:paraId="6FBD297E" w14:textId="77777777">
        <w:trPr>
          <w:cantSplit/>
        </w:trPr>
        <w:tc>
          <w:tcPr>
            <w:tcW w:w="96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52F03" w14:textId="77777777" w:rsidR="005E1BB5" w:rsidRDefault="007D65BF" w:rsidP="005525F3">
            <w:pPr>
              <w:pStyle w:val="Standard"/>
              <w:autoSpaceDE w:val="0"/>
              <w:spacing w:before="1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COMMUNIQUE</w:t>
            </w:r>
            <w:r w:rsidR="005525F3">
              <w:rPr>
                <w:b/>
                <w:bCs/>
                <w:sz w:val="28"/>
                <w:szCs w:val="28"/>
              </w:rPr>
              <w:t xml:space="preserve"> DE PRESSE</w:t>
            </w:r>
          </w:p>
          <w:p w14:paraId="098934D9" w14:textId="77777777" w:rsidR="005525F3" w:rsidRPr="005525F3" w:rsidRDefault="005525F3" w:rsidP="005525F3">
            <w:pPr>
              <w:pStyle w:val="Standard"/>
              <w:autoSpaceDE w:val="0"/>
              <w:spacing w:before="144"/>
              <w:jc w:val="center"/>
              <w:rPr>
                <w:b/>
                <w:bCs/>
                <w:sz w:val="12"/>
                <w:szCs w:val="28"/>
              </w:rPr>
            </w:pPr>
          </w:p>
        </w:tc>
      </w:tr>
    </w:tbl>
    <w:p w14:paraId="46EDBD9C" w14:textId="77777777" w:rsidR="002F4417" w:rsidRDefault="002F44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8FE6CF" w14:textId="77777777" w:rsidR="00E07EF2" w:rsidRDefault="00E07E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966493" w14:textId="0967DFBB" w:rsidR="00ED02AF" w:rsidRDefault="005525F3" w:rsidP="005525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Annecy (74), le </w:t>
      </w:r>
      <w:r w:rsidR="00754CB0">
        <w:rPr>
          <w:rFonts w:ascii="Times New Roman" w:hAnsi="Times New Roman" w:cs="Times New Roman"/>
        </w:rPr>
        <w:t>2</w:t>
      </w:r>
      <w:r w:rsidR="000E7EB1">
        <w:rPr>
          <w:rFonts w:ascii="Times New Roman" w:hAnsi="Times New Roman" w:cs="Times New Roman"/>
        </w:rPr>
        <w:t>1</w:t>
      </w:r>
      <w:r w:rsidR="00754CB0">
        <w:rPr>
          <w:rFonts w:ascii="Times New Roman" w:hAnsi="Times New Roman" w:cs="Times New Roman"/>
        </w:rPr>
        <w:t xml:space="preserve"> décembre 2023</w:t>
      </w:r>
      <w:r>
        <w:rPr>
          <w:rFonts w:ascii="Times New Roman" w:hAnsi="Times New Roman" w:cs="Times New Roman"/>
        </w:rPr>
        <w:t>,</w:t>
      </w:r>
    </w:p>
    <w:p w14:paraId="749D18EA" w14:textId="77777777" w:rsidR="005525F3" w:rsidRDefault="005525F3" w:rsidP="005525F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D1CE15" w14:textId="582C8FC7" w:rsidR="00A36E31" w:rsidRDefault="005525F3" w:rsidP="00196511">
      <w:pPr>
        <w:pStyle w:val="NormalWeb"/>
        <w:spacing w:after="0"/>
        <w:jc w:val="both"/>
      </w:pPr>
      <w:r>
        <w:t xml:space="preserve">Le </w:t>
      </w:r>
      <w:r w:rsidR="000E7EB1">
        <w:t>jeudi 21</w:t>
      </w:r>
      <w:r w:rsidR="00E67680">
        <w:t xml:space="preserve"> décembre 2023</w:t>
      </w:r>
      <w:r>
        <w:t>, le président du Tribunal judiciaire d’A</w:t>
      </w:r>
      <w:r w:rsidR="00E20F92">
        <w:t xml:space="preserve">nnecy </w:t>
      </w:r>
      <w:r w:rsidR="00A36E31">
        <w:t xml:space="preserve">a validé deux </w:t>
      </w:r>
      <w:r>
        <w:t>convention</w:t>
      </w:r>
      <w:r w:rsidR="00A36E31">
        <w:t>s</w:t>
      </w:r>
      <w:r>
        <w:t xml:space="preserve"> judiciaire</w:t>
      </w:r>
      <w:r w:rsidR="00A36E31">
        <w:t>s</w:t>
      </w:r>
      <w:r>
        <w:t xml:space="preserve"> d’</w:t>
      </w:r>
      <w:r w:rsidR="00A36E31">
        <w:t>i</w:t>
      </w:r>
      <w:r>
        <w:t xml:space="preserve">ntérêt public (CJIP) en matière </w:t>
      </w:r>
      <w:r w:rsidR="00A36E31">
        <w:t>environnementale</w:t>
      </w:r>
      <w:r>
        <w:t xml:space="preserve"> conclue</w:t>
      </w:r>
      <w:r w:rsidR="00A36E31">
        <w:t>s</w:t>
      </w:r>
      <w:r>
        <w:t xml:space="preserve"> </w:t>
      </w:r>
      <w:r w:rsidR="00DA217D" w:rsidRPr="00E20F92">
        <w:t>entre</w:t>
      </w:r>
      <w:r w:rsidR="00E20F92">
        <w:t xml:space="preserve"> la</w:t>
      </w:r>
      <w:r>
        <w:t xml:space="preserve"> procureur</w:t>
      </w:r>
      <w:r w:rsidR="00E20F92">
        <w:t>e</w:t>
      </w:r>
      <w:r>
        <w:t xml:space="preserve"> de la République d’Annecy et la société Véolia Eau </w:t>
      </w:r>
      <w:r w:rsidR="00754CB0">
        <w:t xml:space="preserve">– Compagnie Générale des Eaux </w:t>
      </w:r>
      <w:r w:rsidR="00A36E31">
        <w:t>en application de l’article 41-1-3 du code de procédure pénale.</w:t>
      </w:r>
    </w:p>
    <w:p w14:paraId="10DBC5E3" w14:textId="7C4E32D5" w:rsidR="00E20F92" w:rsidRDefault="00A36E31" w:rsidP="00196511">
      <w:pPr>
        <w:pStyle w:val="NormalWeb"/>
        <w:spacing w:after="0"/>
        <w:jc w:val="both"/>
      </w:pPr>
      <w:r>
        <w:t xml:space="preserve">Cette procédure </w:t>
      </w:r>
      <w:r w:rsidR="00DA217D">
        <w:t>fait suite à deux enquêtes</w:t>
      </w:r>
      <w:r w:rsidR="00CA1165">
        <w:t xml:space="preserve"> diligentées</w:t>
      </w:r>
      <w:r w:rsidR="00DA217D">
        <w:t xml:space="preserve"> </w:t>
      </w:r>
      <w:r>
        <w:t>par l’Office Français de la Biodiversité</w:t>
      </w:r>
      <w:r w:rsidR="00CA1165">
        <w:t xml:space="preserve"> (O.F.B.) de la Haute-Savoie pour des faits de pollution </w:t>
      </w:r>
      <w:r w:rsidR="00E20F92">
        <w:t xml:space="preserve">du ruisseau le Vaudrenaz situé </w:t>
      </w:r>
      <w:r w:rsidR="00CA1165">
        <w:t>sur la commune de Vaulx le 13 août 2020 et le 12 avril 2021</w:t>
      </w:r>
      <w:r w:rsidR="00E20F92">
        <w:t xml:space="preserve">. Cette dernière pollution avait </w:t>
      </w:r>
      <w:r w:rsidR="00A9007E">
        <w:t>provoqué une dégradation importante du cours d’eau et une mortalité piscicole</w:t>
      </w:r>
      <w:r w:rsidR="00E20F92">
        <w:t xml:space="preserve"> conséquente</w:t>
      </w:r>
      <w:r w:rsidR="00CA1165">
        <w:t xml:space="preserve">. </w:t>
      </w:r>
    </w:p>
    <w:p w14:paraId="5A43492A" w14:textId="6EB31D30" w:rsidR="00DA217D" w:rsidRDefault="00CA1165" w:rsidP="00196511">
      <w:pPr>
        <w:pStyle w:val="NormalWeb"/>
        <w:spacing w:after="0"/>
        <w:jc w:val="both"/>
      </w:pPr>
      <w:r>
        <w:t xml:space="preserve">Les policiers de l’environnement </w:t>
      </w:r>
      <w:r w:rsidR="002E07C9">
        <w:t xml:space="preserve">ont </w:t>
      </w:r>
      <w:r>
        <w:t>é</w:t>
      </w:r>
      <w:r w:rsidR="00DA217D">
        <w:t xml:space="preserve">tabli que ces pollutions avaient </w:t>
      </w:r>
      <w:r>
        <w:t xml:space="preserve">pour origine </w:t>
      </w:r>
      <w:r w:rsidR="00DA217D">
        <w:t>des déversements provenant de la station d’épuration de</w:t>
      </w:r>
      <w:r>
        <w:t xml:space="preserve"> </w:t>
      </w:r>
      <w:r w:rsidR="00A60DA7">
        <w:t>V</w:t>
      </w:r>
      <w:r w:rsidR="00221EAC">
        <w:t>aulx</w:t>
      </w:r>
      <w:r w:rsidR="002E07C9">
        <w:t>,</w:t>
      </w:r>
      <w:r w:rsidR="00A60DA7">
        <w:t xml:space="preserve"> propriété</w:t>
      </w:r>
      <w:r w:rsidR="00DA217D">
        <w:t xml:space="preserve"> de la communauté de communes de RUMILLY</w:t>
      </w:r>
      <w:r>
        <w:t xml:space="preserve">. Les investigations </w:t>
      </w:r>
      <w:r w:rsidR="002E07C9">
        <w:t xml:space="preserve">ont </w:t>
      </w:r>
      <w:r>
        <w:t xml:space="preserve">encore </w:t>
      </w:r>
      <w:r w:rsidR="00A60DA7">
        <w:t>révélé</w:t>
      </w:r>
      <w:r>
        <w:t xml:space="preserve"> que les déversements avaient été provoqué</w:t>
      </w:r>
      <w:r w:rsidR="00E20F92">
        <w:t>s</w:t>
      </w:r>
      <w:r>
        <w:t xml:space="preserve"> par le</w:t>
      </w:r>
      <w:r w:rsidR="00DA217D">
        <w:t xml:space="preserve"> dysfonctionnement d’un équipement de</w:t>
      </w:r>
      <w:r>
        <w:t xml:space="preserve"> sécurité de</w:t>
      </w:r>
      <w:r w:rsidR="00DA217D">
        <w:t xml:space="preserve"> la station </w:t>
      </w:r>
      <w:r>
        <w:t xml:space="preserve">puis par </w:t>
      </w:r>
      <w:r w:rsidR="00DA217D">
        <w:t xml:space="preserve">une opération de maintenance mal maîtrisée. </w:t>
      </w:r>
      <w:r w:rsidR="00A36E31">
        <w:t xml:space="preserve"> </w:t>
      </w:r>
    </w:p>
    <w:p w14:paraId="625AB6D5" w14:textId="124C9D7B" w:rsidR="00DA217D" w:rsidRDefault="00DA217D" w:rsidP="00196511">
      <w:pPr>
        <w:pStyle w:val="NormalWeb"/>
        <w:spacing w:after="0"/>
        <w:jc w:val="both"/>
      </w:pPr>
      <w:r>
        <w:t>La société VEOLIA, en charge de l’exploitation de la station d’épuration</w:t>
      </w:r>
      <w:r w:rsidR="00A9007E">
        <w:t xml:space="preserve">, </w:t>
      </w:r>
      <w:r>
        <w:t xml:space="preserve">a </w:t>
      </w:r>
      <w:r w:rsidR="00754CB0">
        <w:t>son implication</w:t>
      </w:r>
      <w:r>
        <w:t xml:space="preserve"> dans ces faits qualifiés de pollution</w:t>
      </w:r>
      <w:r w:rsidR="00A9007E">
        <w:t>.</w:t>
      </w:r>
    </w:p>
    <w:p w14:paraId="4D24FCC5" w14:textId="00971012" w:rsidR="00A9007E" w:rsidRDefault="00A60DA7" w:rsidP="00196511">
      <w:pPr>
        <w:pStyle w:val="NormalWeb"/>
        <w:spacing w:after="0"/>
        <w:jc w:val="both"/>
      </w:pPr>
      <w:r>
        <w:t>C</w:t>
      </w:r>
      <w:r w:rsidR="00A9007E">
        <w:t>ompte tenu du caractère involontaire des pollution</w:t>
      </w:r>
      <w:r w:rsidR="00E20F92">
        <w:t>s</w:t>
      </w:r>
      <w:r w:rsidR="00A9007E">
        <w:t xml:space="preserve"> et du comportement responsable de la société </w:t>
      </w:r>
      <w:r w:rsidR="00E20F92">
        <w:t>VEOLIA</w:t>
      </w:r>
      <w:r w:rsidR="00A9007E">
        <w:t xml:space="preserve">, la procureure de la république d’Annecy </w:t>
      </w:r>
      <w:r w:rsidR="00E20F92">
        <w:t xml:space="preserve">a </w:t>
      </w:r>
      <w:r w:rsidR="00A9007E">
        <w:t>souhait</w:t>
      </w:r>
      <w:r w:rsidR="00E20F92">
        <w:t>é</w:t>
      </w:r>
      <w:r w:rsidR="00A9007E">
        <w:t xml:space="preserve">, au-delà </w:t>
      </w:r>
      <w:r w:rsidR="00754CB0">
        <w:t>de la fixation du montant des amendes d’intérêt public</w:t>
      </w:r>
      <w:r w:rsidR="00E20F92">
        <w:t>,</w:t>
      </w:r>
      <w:r w:rsidR="00A9007E">
        <w:t xml:space="preserve"> privilégier la réparation du préjudice écologique et l’indemnisation des </w:t>
      </w:r>
      <w:r w:rsidR="002E07C9">
        <w:t xml:space="preserve">associations ayant pour mission la préservation de l’environnement et des milieux aquatiques, qui se sont portées </w:t>
      </w:r>
      <w:r w:rsidR="00A9007E">
        <w:t xml:space="preserve">parties civiles. </w:t>
      </w:r>
    </w:p>
    <w:p w14:paraId="1F01E0EB" w14:textId="77777777" w:rsidR="00A60DA7" w:rsidRDefault="00A60DA7" w:rsidP="00196511">
      <w:pPr>
        <w:pStyle w:val="NormalWeb"/>
        <w:spacing w:after="0"/>
        <w:jc w:val="both"/>
      </w:pPr>
      <w:r>
        <w:t xml:space="preserve">La société VEOLIA a accepté </w:t>
      </w:r>
      <w:r w:rsidR="00E20F92">
        <w:t xml:space="preserve">la proposition de la procureure </w:t>
      </w:r>
      <w:r>
        <w:t>de s’acquitter du paiement de 120 000 € au titre la réparation du préjudice écologique. Cette somme sera versée à la</w:t>
      </w:r>
      <w:r w:rsidRPr="00F54835">
        <w:rPr>
          <w:bCs/>
        </w:rPr>
        <w:t xml:space="preserve"> fédération</w:t>
      </w:r>
      <w:r w:rsidRPr="00F54835">
        <w:t xml:space="preserve"> de Haute-Savoie pour la pêche et la protection du milieu aquatique</w:t>
      </w:r>
      <w:r>
        <w:t xml:space="preserve"> qui sera en charge de mener avec cette somme des actions en faveur de l’environnement</w:t>
      </w:r>
      <w:r w:rsidR="00625D16">
        <w:t xml:space="preserve"> ainsi que de</w:t>
      </w:r>
      <w:r>
        <w:t xml:space="preserve"> la reconstitution du cours d’eau et de son écosystème.</w:t>
      </w:r>
    </w:p>
    <w:p w14:paraId="261E5890" w14:textId="057B4F26" w:rsidR="00A9007E" w:rsidRDefault="00E20F92" w:rsidP="00196511">
      <w:pPr>
        <w:pStyle w:val="NormalWeb"/>
        <w:spacing w:after="0"/>
        <w:jc w:val="both"/>
      </w:pPr>
      <w:r>
        <w:t xml:space="preserve">La société </w:t>
      </w:r>
      <w:r w:rsidR="00625D16">
        <w:t xml:space="preserve">VEOLIA </w:t>
      </w:r>
      <w:r>
        <w:t>devra par ailleurs s’acquitter de dommages et intérêts en réparation des autres préjudices subis par la fédération</w:t>
      </w:r>
      <w:r w:rsidR="00625D16">
        <w:t xml:space="preserve"> </w:t>
      </w:r>
      <w:r>
        <w:t xml:space="preserve">de Haute-Savoie pour la </w:t>
      </w:r>
      <w:r w:rsidR="00625D16">
        <w:t>pêche</w:t>
      </w:r>
      <w:r>
        <w:t xml:space="preserve"> et la protection du milieu aquatique, l’AAPPMA de l’Albanais et France Nature </w:t>
      </w:r>
      <w:r w:rsidR="00625D16">
        <w:t>Environnement</w:t>
      </w:r>
      <w:r>
        <w:t xml:space="preserve"> pour un montant total de 63 640 €.</w:t>
      </w:r>
    </w:p>
    <w:p w14:paraId="753840D6" w14:textId="77777777" w:rsidR="00E20F92" w:rsidRDefault="00E20F92" w:rsidP="00196511">
      <w:pPr>
        <w:pStyle w:val="NormalWeb"/>
        <w:spacing w:after="0"/>
        <w:jc w:val="both"/>
      </w:pPr>
    </w:p>
    <w:p w14:paraId="0A1C383F" w14:textId="3AA90301" w:rsidR="00E20F92" w:rsidRDefault="00625D16" w:rsidP="00196511">
      <w:pPr>
        <w:pStyle w:val="NormalWeb"/>
        <w:spacing w:after="0"/>
        <w:jc w:val="both"/>
      </w:pPr>
      <w:r>
        <w:t>Enfin, l</w:t>
      </w:r>
      <w:r w:rsidR="00E20F92">
        <w:t>a société VEOLIA a accepté de s’acquitter du paiement de deux amendes d’un montant total de 25 000 €.</w:t>
      </w:r>
    </w:p>
    <w:p w14:paraId="0116EC02" w14:textId="77777777" w:rsidR="0064078F" w:rsidRDefault="0064078F" w:rsidP="0064078F">
      <w:pPr>
        <w:pStyle w:val="NormalWeb"/>
        <w:spacing w:after="0"/>
        <w:jc w:val="both"/>
      </w:pPr>
      <w:r>
        <w:t>Sous réserve du paiement des amendes et des dommages et intérêts fixés aux conventions, la validation des conventions judiciaires d’intérêt public entraine l’extinction de l’action publique à l’égard de la société signataire.</w:t>
      </w:r>
    </w:p>
    <w:p w14:paraId="77A68EF1" w14:textId="77777777" w:rsidR="00E20F92" w:rsidRDefault="00E20F92" w:rsidP="00196511">
      <w:pPr>
        <w:pStyle w:val="NormalWeb"/>
        <w:spacing w:after="0"/>
        <w:jc w:val="both"/>
      </w:pPr>
      <w:r>
        <w:t>Ces deux CJIP sont les premières à être mises en œuvre</w:t>
      </w:r>
      <w:r w:rsidR="002E07C9">
        <w:t xml:space="preserve"> sur le territoire de la Cour d’Appel</w:t>
      </w:r>
      <w:r>
        <w:t xml:space="preserve"> depuis la création de cette nouvelle procédure par la loi du 24 décembre 2020 et la mise en place du pôle régional de l’environnement au tribunal judiciaire d’Annecy.</w:t>
      </w:r>
    </w:p>
    <w:p w14:paraId="4BC6AD62" w14:textId="77777777" w:rsidR="00625D16" w:rsidRDefault="00625D16" w:rsidP="00E20F92">
      <w:pPr>
        <w:pStyle w:val="NormalWeb"/>
        <w:spacing w:after="0"/>
        <w:jc w:val="both"/>
      </w:pPr>
    </w:p>
    <w:p w14:paraId="1FF66FEE" w14:textId="77777777" w:rsidR="00625D16" w:rsidRDefault="00625D16" w:rsidP="00E20F92">
      <w:pPr>
        <w:pStyle w:val="NormalWeb"/>
        <w:spacing w:after="0"/>
        <w:jc w:val="both"/>
      </w:pPr>
    </w:p>
    <w:p w14:paraId="4C30C372" w14:textId="77777777" w:rsidR="00E20F92" w:rsidRDefault="00E20F92" w:rsidP="002964E1">
      <w:pPr>
        <w:pStyle w:val="NormalWeb"/>
        <w:spacing w:after="0"/>
        <w:jc w:val="both"/>
      </w:pPr>
    </w:p>
    <w:p w14:paraId="05C6B8EB" w14:textId="77777777" w:rsidR="00E20F92" w:rsidRPr="005968AF" w:rsidRDefault="00E20F92" w:rsidP="00E20F92">
      <w:pPr>
        <w:pStyle w:val="NormalWeb"/>
        <w:spacing w:after="0"/>
        <w:jc w:val="both"/>
        <w:rPr>
          <w:b/>
        </w:rPr>
      </w:pPr>
    </w:p>
    <w:p w14:paraId="33B0D44E" w14:textId="77777777" w:rsidR="00CA1165" w:rsidRPr="005968AF" w:rsidRDefault="00CA1165" w:rsidP="002964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CA1165" w:rsidRPr="005968AF" w:rsidSect="00E07EF2">
      <w:footerReference w:type="default" r:id="rId8"/>
      <w:pgSz w:w="11906" w:h="16838"/>
      <w:pgMar w:top="1134" w:right="1418" w:bottom="720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4BF9" w14:textId="77777777" w:rsidR="00854D7F" w:rsidRDefault="00854D7F">
      <w:pPr>
        <w:spacing w:after="0" w:line="240" w:lineRule="auto"/>
      </w:pPr>
      <w:r>
        <w:separator/>
      </w:r>
    </w:p>
  </w:endnote>
  <w:endnote w:type="continuationSeparator" w:id="0">
    <w:p w14:paraId="69ED64AE" w14:textId="77777777" w:rsidR="00854D7F" w:rsidRDefault="0085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750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9FFBF2" w14:textId="67FBDF61" w:rsidR="00EB5C04" w:rsidRPr="00F80445" w:rsidRDefault="00D67518" w:rsidP="00F80445">
        <w:pPr>
          <w:pStyle w:val="Pieddepage"/>
          <w:jc w:val="right"/>
          <w:rPr>
            <w:rFonts w:ascii="Times New Roman" w:hAnsi="Times New Roman" w:cs="Times New Roman"/>
          </w:rPr>
        </w:pPr>
        <w:r w:rsidRPr="00D67518">
          <w:rPr>
            <w:rFonts w:ascii="Times New Roman" w:hAnsi="Times New Roman" w:cs="Times New Roman"/>
          </w:rPr>
          <w:fldChar w:fldCharType="begin"/>
        </w:r>
        <w:r w:rsidRPr="00D67518">
          <w:rPr>
            <w:rFonts w:ascii="Times New Roman" w:hAnsi="Times New Roman" w:cs="Times New Roman"/>
          </w:rPr>
          <w:instrText>PAGE   \* MERGEFORMAT</w:instrText>
        </w:r>
        <w:r w:rsidRPr="00D67518">
          <w:rPr>
            <w:rFonts w:ascii="Times New Roman" w:hAnsi="Times New Roman" w:cs="Times New Roman"/>
          </w:rPr>
          <w:fldChar w:fldCharType="separate"/>
        </w:r>
        <w:r w:rsidR="00D3204E">
          <w:rPr>
            <w:rFonts w:ascii="Times New Roman" w:hAnsi="Times New Roman" w:cs="Times New Roman"/>
            <w:noProof/>
          </w:rPr>
          <w:t>2</w:t>
        </w:r>
        <w:r w:rsidRPr="00D675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436E" w14:textId="77777777" w:rsidR="00854D7F" w:rsidRDefault="00854D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A04D89" w14:textId="77777777" w:rsidR="00854D7F" w:rsidRDefault="0085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D08"/>
    <w:multiLevelType w:val="hybridMultilevel"/>
    <w:tmpl w:val="AB904C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866"/>
    <w:multiLevelType w:val="hybridMultilevel"/>
    <w:tmpl w:val="BED22D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693D"/>
    <w:multiLevelType w:val="hybridMultilevel"/>
    <w:tmpl w:val="34086E68"/>
    <w:lvl w:ilvl="0" w:tplc="BF8609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336FB9"/>
    <w:multiLevelType w:val="hybridMultilevel"/>
    <w:tmpl w:val="270C5DF2"/>
    <w:lvl w:ilvl="0" w:tplc="F3DCC17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55CAA"/>
    <w:multiLevelType w:val="hybridMultilevel"/>
    <w:tmpl w:val="5B74E2D6"/>
    <w:lvl w:ilvl="0" w:tplc="BF860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79FD"/>
    <w:multiLevelType w:val="multilevel"/>
    <w:tmpl w:val="741E468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E1615E"/>
    <w:multiLevelType w:val="hybridMultilevel"/>
    <w:tmpl w:val="4A66C2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548B4"/>
    <w:multiLevelType w:val="hybridMultilevel"/>
    <w:tmpl w:val="6E6CC416"/>
    <w:lvl w:ilvl="0" w:tplc="662E8F2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027E"/>
    <w:multiLevelType w:val="hybridMultilevel"/>
    <w:tmpl w:val="90442E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17"/>
    <w:rsid w:val="00052B92"/>
    <w:rsid w:val="0005762E"/>
    <w:rsid w:val="000E7EB1"/>
    <w:rsid w:val="00102947"/>
    <w:rsid w:val="00104153"/>
    <w:rsid w:val="0016363B"/>
    <w:rsid w:val="001753FB"/>
    <w:rsid w:val="00196511"/>
    <w:rsid w:val="00221EAC"/>
    <w:rsid w:val="0023427A"/>
    <w:rsid w:val="00274563"/>
    <w:rsid w:val="00285A42"/>
    <w:rsid w:val="00295528"/>
    <w:rsid w:val="002964E1"/>
    <w:rsid w:val="002C06C9"/>
    <w:rsid w:val="002E07C9"/>
    <w:rsid w:val="002F4417"/>
    <w:rsid w:val="003C57D5"/>
    <w:rsid w:val="003F7034"/>
    <w:rsid w:val="00551A67"/>
    <w:rsid w:val="005525F3"/>
    <w:rsid w:val="00594280"/>
    <w:rsid w:val="005968AF"/>
    <w:rsid w:val="005E1BB5"/>
    <w:rsid w:val="00625D16"/>
    <w:rsid w:val="00627090"/>
    <w:rsid w:val="0064078F"/>
    <w:rsid w:val="00656420"/>
    <w:rsid w:val="00754CB0"/>
    <w:rsid w:val="00797A95"/>
    <w:rsid w:val="007D65BF"/>
    <w:rsid w:val="00824F29"/>
    <w:rsid w:val="00854D7F"/>
    <w:rsid w:val="008C494F"/>
    <w:rsid w:val="008C71FF"/>
    <w:rsid w:val="009315BA"/>
    <w:rsid w:val="009D0F47"/>
    <w:rsid w:val="00A31183"/>
    <w:rsid w:val="00A36E31"/>
    <w:rsid w:val="00A60DA7"/>
    <w:rsid w:val="00A9007E"/>
    <w:rsid w:val="00B93C09"/>
    <w:rsid w:val="00BB0DAF"/>
    <w:rsid w:val="00CA1165"/>
    <w:rsid w:val="00D26A04"/>
    <w:rsid w:val="00D3204E"/>
    <w:rsid w:val="00D56172"/>
    <w:rsid w:val="00D67518"/>
    <w:rsid w:val="00D743D3"/>
    <w:rsid w:val="00DA217D"/>
    <w:rsid w:val="00DB4317"/>
    <w:rsid w:val="00DD773F"/>
    <w:rsid w:val="00DE23C3"/>
    <w:rsid w:val="00E07EF2"/>
    <w:rsid w:val="00E20F92"/>
    <w:rsid w:val="00E67680"/>
    <w:rsid w:val="00E94E9C"/>
    <w:rsid w:val="00EB5C04"/>
    <w:rsid w:val="00EC3779"/>
    <w:rsid w:val="00ED02AF"/>
    <w:rsid w:val="00F07603"/>
    <w:rsid w:val="00F21236"/>
    <w:rsid w:val="00F52E92"/>
    <w:rsid w:val="00F54835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12CD"/>
  <w15:docId w15:val="{CB724E08-75F5-431E-B7E3-E280536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ootnote">
    <w:name w:val="Footnote"/>
    <w:basedOn w:val="Normal"/>
    <w:pPr>
      <w:widowControl w:val="0"/>
      <w:suppressLineNumbers/>
      <w:spacing w:after="0" w:line="240" w:lineRule="auto"/>
      <w:ind w:left="283" w:hanging="283"/>
    </w:pPr>
    <w:rPr>
      <w:rFonts w:ascii="Times New Roman" w:eastAsia="Arial Unicode MS" w:hAnsi="Times New Roman" w:cs="Times New Roman"/>
      <w:kern w:val="3"/>
      <w:sz w:val="20"/>
      <w:szCs w:val="20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rPr>
      <w:rFonts w:ascii="Times New Roman" w:eastAsia="Arial Unicode MS" w:hAnsi="Times New Roman" w:cs="Times New Roman"/>
      <w:kern w:val="3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Paragraphedeliste">
    <w:name w:val="List Paragraph"/>
    <w:basedOn w:val="Normal"/>
    <w:pPr>
      <w:ind w:left="720"/>
    </w:pPr>
  </w:style>
  <w:style w:type="paragraph" w:styleId="NormalWeb">
    <w:name w:val="Normal (Web)"/>
    <w:basedOn w:val="Normal"/>
    <w:uiPriority w:val="99"/>
    <w:unhideWhenUsed/>
    <w:rsid w:val="005525F3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52B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B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B92"/>
    <w:rPr>
      <w:rFonts w:ascii="Calibri" w:eastAsia="Calibri" w:hAnsi="Calibri" w:cs="Calibri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B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B92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COLLOT Natacha</dc:creator>
  <cp:lastModifiedBy>DUMAS Cyrielle</cp:lastModifiedBy>
  <cp:revision>4</cp:revision>
  <cp:lastPrinted>2022-06-01T16:26:00Z</cp:lastPrinted>
  <dcterms:created xsi:type="dcterms:W3CDTF">2024-01-08T08:44:00Z</dcterms:created>
  <dcterms:modified xsi:type="dcterms:W3CDTF">2024-01-08T08:59:00Z</dcterms:modified>
</cp:coreProperties>
</file>